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jc w:val="center"/>
        <w:rPr>
          <w:rFonts w:ascii="方正小标宋简体" w:eastAsia="方正小标宋简体"/>
          <w:b/>
          <w:color w:val="FF0000"/>
          <w:spacing w:val="80"/>
          <w:sz w:val="92"/>
          <w:szCs w:val="92"/>
        </w:rPr>
      </w:pPr>
      <w:bookmarkStart w:id="0" w:name="OLE_LINK1"/>
      <w:r>
        <w:rPr>
          <w:rFonts w:hint="eastAsia" w:ascii="方正小标宋简体" w:eastAsia="方正小标宋简体"/>
          <w:b/>
          <w:color w:val="FF0000"/>
          <w:spacing w:val="80"/>
          <w:sz w:val="92"/>
          <w:szCs w:val="92"/>
        </w:rPr>
        <w:t>北海艺术设计学院</w:t>
      </w:r>
    </w:p>
    <w:p>
      <w:pPr>
        <w:adjustRightInd w:val="0"/>
        <w:snapToGrid w:val="0"/>
        <w:spacing w:line="570" w:lineRule="exact"/>
        <w:jc w:val="center"/>
        <w:rPr>
          <w:rFonts w:ascii="微软雅黑" w:hAnsi="微软雅黑" w:eastAsia="微软雅黑"/>
          <w:b/>
          <w:bCs/>
          <w:color w:val="auto"/>
          <w:sz w:val="32"/>
          <w:szCs w:val="32"/>
          <w:shd w:val="clear" w:color="auto" w:fill="FFFFFF"/>
        </w:rPr>
      </w:pPr>
      <w:r>
        <w:rPr>
          <w:rFonts w:hint="eastAsia"/>
          <w:color w:va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393065</wp:posOffset>
                </wp:positionV>
                <wp:extent cx="5633720" cy="14605"/>
                <wp:effectExtent l="0" t="19050" r="5080" b="23495"/>
                <wp:wrapNone/>
                <wp:docPr id="4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5633720" cy="14605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pt;margin-top:30.95pt;height:1.15pt;width:443.6pt;z-index:251659264;mso-width-relative:page;mso-height-relative:page;" filled="f" stroked="t" coordsize="21600,21600" o:gfxdata="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GYaahdkAAAAGAQAADwAAAAAAAAAB&#10;ACAAAAAiAAAAZHJzL2Rvd25yZXYueG1sUEsBAhQAFAAAAAgAh07iQCg3a73WAQAAiwMAAA4AAAAA&#10;AAAAAQAgAAAAKAEAAGRycy9lMm9Eb2MueG1sUEsFBgAAAAAGAAYAWQEAAHAFAAAAAA==&#10;">
                <v:fill on="f" focussize="0,0"/>
                <v:stroke weight="3pt" color="#FF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方正仿宋简体" w:eastAsia="方正仿宋简体"/>
          <w:color w:val="auto"/>
          <w:sz w:val="32"/>
          <w:szCs w:val="32"/>
        </w:rPr>
        <w:t>北艺</w:t>
      </w:r>
      <w:r>
        <w:rPr>
          <w:rFonts w:hint="eastAsia" w:ascii="方正仿宋简体" w:eastAsia="方正仿宋简体"/>
          <w:color w:val="auto"/>
          <w:sz w:val="32"/>
          <w:szCs w:val="32"/>
          <w:lang w:val="en-US" w:eastAsia="zh-CN"/>
        </w:rPr>
        <w:t>教</w:t>
      </w:r>
      <w:r>
        <w:rPr>
          <w:rFonts w:hint="eastAsia" w:ascii="方正仿宋简体" w:eastAsia="方正仿宋简体"/>
          <w:color w:val="auto"/>
          <w:sz w:val="32"/>
          <w:szCs w:val="32"/>
        </w:rPr>
        <w:t>发〔20</w:t>
      </w:r>
      <w:r>
        <w:rPr>
          <w:rFonts w:hint="eastAsia" w:ascii="方正仿宋简体" w:eastAsia="方正仿宋简体"/>
          <w:color w:val="auto"/>
          <w:sz w:val="32"/>
          <w:szCs w:val="32"/>
          <w:lang w:val="en-US" w:eastAsia="zh-CN"/>
        </w:rPr>
        <w:t>21</w:t>
      </w:r>
      <w:r>
        <w:rPr>
          <w:rFonts w:hint="eastAsia" w:ascii="方正仿宋简体" w:eastAsia="方正仿宋简体"/>
          <w:color w:val="auto"/>
          <w:sz w:val="32"/>
          <w:szCs w:val="32"/>
        </w:rPr>
        <w:t>〕</w:t>
      </w:r>
      <w:r>
        <w:rPr>
          <w:rFonts w:hint="eastAsia" w:ascii="方正仿宋简体" w:eastAsia="方正仿宋简体"/>
          <w:color w:val="auto"/>
          <w:sz w:val="32"/>
          <w:szCs w:val="32"/>
          <w:lang w:val="en-US" w:eastAsia="zh-CN"/>
        </w:rPr>
        <w:t>30</w:t>
      </w:r>
      <w:r>
        <w:rPr>
          <w:rFonts w:hint="eastAsia" w:ascii="方正仿宋简体" w:eastAsia="方正仿宋简体"/>
          <w:color w:val="auto"/>
          <w:sz w:val="32"/>
          <w:szCs w:val="32"/>
        </w:rPr>
        <w:t>号</w:t>
      </w:r>
    </w:p>
    <w:p>
      <w:pPr>
        <w:adjustRightInd w:val="0"/>
        <w:snapToGrid w:val="0"/>
        <w:spacing w:line="570" w:lineRule="exact"/>
        <w:jc w:val="center"/>
        <w:rPr>
          <w:rFonts w:ascii="微软雅黑" w:hAnsi="微软雅黑" w:eastAsia="微软雅黑"/>
          <w:b/>
          <w:bCs/>
          <w:color w:val="000000"/>
          <w:sz w:val="32"/>
          <w:szCs w:val="32"/>
          <w:shd w:val="clear" w:color="auto" w:fill="FFFFFF"/>
        </w:rPr>
      </w:pP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righ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关于印发</w:t>
      </w:r>
      <w:r>
        <w:rPr>
          <w:rFonts w:hint="eastAsia" w:ascii="方正小标宋简体" w:eastAsia="方正小标宋简体"/>
          <w:sz w:val="44"/>
          <w:szCs w:val="44"/>
        </w:rPr>
        <w:t>《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管理办法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》的通知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jc w:val="center"/>
        <w:textAlignment w:val="auto"/>
        <w:rPr>
          <w:rFonts w:ascii="方正小标宋简体" w:eastAsia="方正小标宋简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学校各部门、单位：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firstLine="640" w:firstLineChars="200"/>
        <w:jc w:val="both"/>
        <w:textAlignment w:val="auto"/>
        <w:outlineLvl w:val="0"/>
        <w:rPr>
          <w:rFonts w:hint="eastAsia" w:ascii="方正仿宋简体" w:eastAsia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为规范毕业设计（论文）管理工作，根据《普通高等学校本科专业类教学质量国家标准》要求，</w:t>
      </w:r>
      <w:r>
        <w:rPr>
          <w:rFonts w:hint="eastAsia" w:ascii="方正仿宋简体" w:hAnsi="方正仿宋简体" w:eastAsia="方正仿宋简体"/>
          <w:color w:val="000000" w:themeColor="text1"/>
          <w:sz w:val="32"/>
          <w:szCs w:val="20"/>
          <w:lang w:val="en-US" w:eastAsia="zh-CN"/>
          <w14:textFill>
            <w14:solidFill>
              <w14:schemeClr w14:val="tx1"/>
            </w14:solidFill>
          </w14:textFill>
        </w:rPr>
        <w:t>学校制定了《北海艺术设计学院毕业设计（论文）管理办法》。</w:t>
      </w:r>
      <w:r>
        <w:rPr>
          <w:rFonts w:hint="eastAsia" w:ascii="方正仿宋简体" w:hAnsi="方正仿宋简体" w:eastAsia="方正仿宋简体"/>
          <w:color w:val="000000" w:themeColor="text1"/>
          <w:sz w:val="32"/>
          <w:szCs w:val="20"/>
          <w14:textFill>
            <w14:solidFill>
              <w14:schemeClr w14:val="tx1"/>
            </w14:solidFill>
          </w14:textFill>
        </w:rPr>
        <w:t>现</w:t>
      </w:r>
      <w:r>
        <w:rPr>
          <w:rFonts w:hint="eastAsia" w:ascii="方正仿宋简体" w:eastAsia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予以印发</w:t>
      </w:r>
      <w:r>
        <w:rPr>
          <w:rFonts w:hint="eastAsia" w:ascii="方正仿宋简体" w:hAnsi="宋体" w:eastAsia="方正仿宋简体" w:cs="宋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eastAsia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请认真贯彻执行。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firstLine="640" w:firstLineChars="200"/>
        <w:jc w:val="both"/>
        <w:textAlignment w:val="auto"/>
        <w:outlineLvl w:val="0"/>
        <w:rPr>
          <w:rFonts w:hint="eastAsia" w:ascii="方正仿宋简体" w:eastAsia="方正仿宋简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ind w:firstLine="640" w:firstLineChars="200"/>
        <w:jc w:val="both"/>
        <w:textAlignment w:val="auto"/>
        <w:outlineLvl w:val="0"/>
        <w:rPr>
          <w:rFonts w:hint="eastAsia" w:ascii="方正仿宋简体" w:eastAsia="方正仿宋简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</w:p>
    <w:p>
      <w:pPr>
        <w:wordWrap w:val="0"/>
        <w:spacing w:line="570" w:lineRule="exact"/>
        <w:ind w:right="160"/>
        <w:jc w:val="right"/>
        <w:rPr>
          <w:rFonts w:ascii="方正仿宋简体" w:eastAsia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eastAsia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ascii="方正仿宋简体" w:eastAsia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</w:t>
      </w:r>
    </w:p>
    <w:p>
      <w:pPr>
        <w:wordWrap w:val="0"/>
        <w:spacing w:line="570" w:lineRule="exact"/>
        <w:ind w:right="160"/>
        <w:jc w:val="right"/>
        <w:rPr>
          <w:rFonts w:hint="default" w:ascii="方正小标宋简体" w:eastAsia="方正仿宋简体"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方正仿宋简体" w:eastAsia="方正仿宋简体"/>
          <w:bCs/>
          <w:color w:val="auto"/>
          <w:sz w:val="32"/>
          <w:szCs w:val="32"/>
        </w:rPr>
        <w:t>20</w:t>
      </w:r>
      <w:r>
        <w:rPr>
          <w:rFonts w:hint="eastAsia" w:ascii="方正仿宋简体" w:eastAsia="方正仿宋简体"/>
          <w:bCs/>
          <w:color w:val="auto"/>
          <w:sz w:val="32"/>
          <w:szCs w:val="32"/>
          <w:lang w:val="en-US" w:eastAsia="zh-CN"/>
        </w:rPr>
        <w:t>21</w:t>
      </w:r>
      <w:r>
        <w:rPr>
          <w:rFonts w:hint="eastAsia" w:ascii="方正仿宋简体" w:eastAsia="方正仿宋简体"/>
          <w:bCs/>
          <w:color w:val="auto"/>
          <w:sz w:val="32"/>
          <w:szCs w:val="32"/>
        </w:rPr>
        <w:t>年</w:t>
      </w:r>
      <w:r>
        <w:rPr>
          <w:rFonts w:hint="eastAsia" w:ascii="方正仿宋简体" w:eastAsia="方正仿宋简体"/>
          <w:bCs/>
          <w:color w:val="auto"/>
          <w:sz w:val="32"/>
          <w:szCs w:val="32"/>
          <w:lang w:val="en-US" w:eastAsia="zh-CN"/>
        </w:rPr>
        <w:t>6</w:t>
      </w:r>
      <w:r>
        <w:rPr>
          <w:rFonts w:hint="eastAsia" w:ascii="方正仿宋简体" w:eastAsia="方正仿宋简体"/>
          <w:bCs/>
          <w:color w:val="auto"/>
          <w:sz w:val="32"/>
          <w:szCs w:val="32"/>
        </w:rPr>
        <w:t>月</w:t>
      </w:r>
      <w:r>
        <w:rPr>
          <w:rFonts w:hint="eastAsia" w:ascii="方正仿宋简体" w:eastAsia="方正仿宋简体"/>
          <w:bCs/>
          <w:color w:val="auto"/>
          <w:sz w:val="32"/>
          <w:szCs w:val="32"/>
          <w:lang w:val="en-US" w:eastAsia="zh-CN"/>
        </w:rPr>
        <w:t>16</w:t>
      </w:r>
      <w:r>
        <w:rPr>
          <w:rFonts w:hint="eastAsia" w:ascii="方正仿宋简体" w:eastAsia="方正仿宋简体"/>
          <w:bCs/>
          <w:color w:val="auto"/>
          <w:sz w:val="32"/>
          <w:szCs w:val="32"/>
        </w:rPr>
        <w:t>日</w:t>
      </w:r>
      <w:r>
        <w:rPr>
          <w:rFonts w:ascii="方正仿宋简体" w:eastAsia="方正仿宋简体"/>
          <w:bCs/>
          <w:color w:val="auto"/>
          <w:sz w:val="32"/>
          <w:szCs w:val="32"/>
        </w:rPr>
        <w:t xml:space="preserve"> </w:t>
      </w:r>
      <w:r>
        <w:rPr>
          <w:rFonts w:ascii="方正仿宋简体" w:eastAsia="方正仿宋简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方正仿宋简体" w:eastAsia="方正仿宋简体"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>
      <w:pPr>
        <w:rPr>
          <w:rFonts w:hint="eastAsia" w:ascii="方正小标宋简体" w:hAnsi="Times New Roman" w:eastAsia="方正小标宋简体" w:cs="Times New Roman"/>
          <w:sz w:val="44"/>
          <w:szCs w:val="44"/>
        </w:rPr>
      </w:pPr>
      <w:r>
        <w:rPr>
          <w:rFonts w:hint="eastAsia" w:ascii="方正小标宋简体" w:hAnsi="Times New Roman" w:eastAsia="方正小标宋简体" w:cs="Times New Roman"/>
          <w:sz w:val="44"/>
          <w:szCs w:val="4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北海艺术设计学院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jc w:val="center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8" w:name="_GoBack"/>
      <w:bookmarkEnd w:id="28"/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管理办法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jc w:val="center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是本科教育的重要实践性环节，是对学生专业能力的综合训练。毕业设计（论文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的质量既反映学生在校期间的学习质量，也反映教师的教学科研水平和学校的管理水平。为规范毕业设计（论文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管理工作，</w:t>
      </w:r>
      <w:r>
        <w:rPr>
          <w:rFonts w:hint="eastAsia" w:ascii="方正仿宋简体" w:hAnsi="方正仿宋简体" w:eastAsia="方正仿宋简体" w:cs="方正仿宋简体"/>
          <w:bCs/>
          <w:sz w:val="32"/>
          <w:szCs w:val="32"/>
        </w:rPr>
        <w:t>根据</w:t>
      </w:r>
      <w:r>
        <w:rPr>
          <w:rFonts w:hint="eastAsia" w:ascii="方正仿宋简体" w:hAnsi="方正仿宋简体" w:eastAsia="方正仿宋简体" w:cs="方正仿宋简体"/>
          <w:sz w:val="32"/>
          <w:szCs w:val="32"/>
        </w:rPr>
        <w:t>《普通高等学校本科专业类教学质量国家标准》的要求</w:t>
      </w:r>
      <w:r>
        <w:rPr>
          <w:rFonts w:hint="eastAsia" w:ascii="方正仿宋简体" w:hAnsi="方正仿宋简体" w:eastAsia="方正仿宋简体" w:cs="方正仿宋简体"/>
          <w:sz w:val="32"/>
          <w:szCs w:val="32"/>
          <w:lang w:eastAsia="zh-CN"/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特制定本办法。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一、毕业设计（论文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的目的和意义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工作是高等学校人才培养计划的重要组成部分，是学生在毕业前进行的总结性、研究性学习阶段，是学生学习的深化和升华过程，是十分重要的实践教学环节。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的主要目的是进一步加强对学生创新精神和实践能力的综合训练，培养学生综合运用所学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理论知识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和技能，解决较复杂问题的能力，使学生深化对所修学科专业的认识，提高其从事本专业实际工作和研究工作的基本能力。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质量，在很高的程度上反映了学生的专业水平、科学素养和综合素质；体现了指导教师的治学态度、学术水平和教学能力；表明了学校的教学质量、学术风气和管理水平。在高等教育教学质量评估中，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水平占有非常重要的地位。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单独计算学分，较好地完成毕业设计（论文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，是本科生完成学业及获得学士学位的必备条件。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二、毕业设计（论文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工作管理体制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工作实行校、学院、教研室三级管理。学院、教研室是管理主体。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（一）校级领导机构和职责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全校毕业设计（论文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工作由分管教学校领导负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总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责，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成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立校级毕业设计（论文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工作领导小组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领导小组成员包括相关学院的负责人，办公室设在教务处，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负责日常事务。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学校毕业设计（论文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工作领导小组的职责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贯彻落实上级教育主管部门关于毕业设计（论文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工作的政策和文件精神，制定或修订本校的有关条例和规章制度，对全校的毕业设计（论文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工作实行宏观的组织管理。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对各学院的毕业设计（论文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工作进行检查和评估，并及时向各学院反馈意见，提出指导性意见。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组织各学院就毕业设计（论文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工作进行经验总结和交流，组织和审定全校性的优秀毕业论文和优秀毕业设计的答辩和汇集。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处理其他涉及全校性的有关毕业设计（论文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方面的工作。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（二）学院级领导机构与职责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各二级学院成立以院长为组长、以分管教学副院长为副组长的学院“毕业设计（论文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工作领导小组”，对本学院的毕业设计（论文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工作负责。其成员包括任专业课和专业基础课的院领导干部及各专业负责人、教研室主任和教务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办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主任。各学院毕业设计（论文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的日常具体管理工作由各学院教务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办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负责。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学院“毕业设计（论文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工作领导小组”的职责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贯彻执行学校有关毕业设计（论文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的文件和规章制度；制定本院的毕业设计（论文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的工作计划和具体实施方案。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组织论证、审核本学院毕业设计（论文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课题；审查指导教师的资格，对初次参加指导工作的教师进行培训，审查参加毕业设计（论文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的学生的资格。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组织检查本学院毕业设计（论文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工作的进度和质量，研究解决存在的问题。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审定所属各教研室（专业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的“毕业设计（论文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答辩委员会”的组织名单，并指导其工作。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审核本学院的毕业设计（论文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成绩，组织安排本学院的答辩工作，评选、推荐本学院的校级优秀毕业设计（论文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和指导教师。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做好本学院关于毕业设计（论文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的工作总结，按规定上交或妥善保管本学院的相关文档资料。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（三）教研室（专业）的职责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各专业或教研室建立各专业答辩组。其成员3-5人，都必须具备中级及以上专业技术职称或硕士及以上学位，其中答辩组组长必须具备副高级及以上职称。其职责主要是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落实和执行校、院关于毕业设计（论文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工作的规定和指导意见。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向学院推荐毕业设计（论文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题目及指导教师名单，组织学生选题。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审核并准备有关进行毕业设计（论文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的教学条件。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审查毕业设计（论文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任务书，组织落实毕业设计（论文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的开题报告。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考核指导教师的工作，监控毕业设计（论文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进度和质量。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组织并实施对毕业设计（论文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的审查、审阅、答辩和成绩评定。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向学院推荐本专业的优秀毕业设计（论文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和指导教师。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认真进行毕业设计（论文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的工作总结，做好经费结算，按规定汇总毕业设计（论文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文档资料。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总体目标和基本要求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应充分体现综合性、创新性、科学性、实践性的总体目标要求。综合性，即要求学生对所学专业知识、理论、技术的综合应用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要求教师对学生的创新精神、实践能力和全面素质进行综合训练。创新性，即毕业设计（论文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研究课题创新、研究方法创新、研究成果创新，体现新颖性。科学性，即要求在毕业设计（论文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全过程中，树立科学态度，尊重科学规律，讲求科学方法，争取出研究成果。实践性，即要求在毕业设计（论文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全过程中，始终贯彻理论联系实际的原则，争取真实的课题、获取现实的素材、进行理论的思考、重视实践的应用，努力提高毕业设计（论文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的质量。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通过毕业设计（论文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加强对学生设计方法、试验方法、社会调查方法、学术研究方法的综合训练，以及在资料检索、计算与设计、制定方案、测试设备、数据处理、撰写论文、分析与评价、口头表述、独立工作能力等方面的基本训练。同时，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过程中，进一步培养学生热爱祖国、无私奉献；团结友爱、协作攻关；实事求是，敢于创新的科学精神、思想素质和实践能力。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（一）综合素质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培养学生的科学态度、责任意识、协作精神。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培养学生正确的设计理念和严谨求实的工作作风。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在对学生智力因素培养的同时，要注意对学生非智力因素的培养，如自我控制能力、自我认识能力、人际交往能力等。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（二）业务能力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培养学生综合运用所学基本理论、知识和技能，解决具有一定复杂程度的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设计或工程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问题、社会实际问题的独立工作能力、综合分析能力、创新能力，养成理论联系实际的工作作风。提高学生获取信息能力、观察能力、表达能力、学习能力和实践能力。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工作中，应综合运用学过的多学科理论、知识与技能，分析、解决给定的任务。通过学习、实践与研究，使得理论知识深化，知识领域扩展，专业技能延伸。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学生应在教师指导下独立完成一项给定的任务，撰写一份毕业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设计（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学生应学会依据课题任务，进行资料收集、加工与整理，使用信息技术手段或工具书，开展科学研究，撰写调查报告、学术论文；掌握设计程序、方法与技术规范，提高文献检索、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设计思维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、图纸绘制、撰写文件的能力；培养学生掌握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设计、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实验、测试、数据处理等科学研究与应用的基本方法，培养学生的设计能力、市场调研能力、分析判断能力等。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工作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中，应注意强化外语、计算机应用能力的提高。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四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基本环节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主要包括准备阶段、实施阶段、考核阶段、总结阶段等四个阶段十个环节。其中最基本的环节有指导教师选聘、命题（选题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、教学任务分组、下达任务书、开题报告、过程指导、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中期检查、论文评阅、规范审查、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答辩和成绩评定等。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指导教师选聘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教学过程，需要高水平的指导教师。指导教师的治学精神和学术水平，是影响学生毕业设计（论文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质量的重要因素之一。应注重选聘师德高尚、治学严谨，有较高理论水平和实践能力的教师，作为毕业设计（论文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的指导教师。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指导教师基本条件：具有中级及以上专业技术职称，有一定的科研工作背景和实践经验，有较高的学术理论水平和较强的业务能力，在学术和实践方面有较高水平的研究成果。“双师型”教师优先担任指导教师。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指导教师数量配备标准：每位指导教师指导的学生人数不得超过8人。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指导教师选聘：各学院应根据教学需要，选聘符合任职资格条件的、数量足够的指导教师。指导教师名单需经二级学院“毕业设计（论文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工作领导小组”审定，报教务处备案。指导教师一经确定，不能随意改变。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本环节应保证指导教师任职资格达标、教师数量充足。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六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命题（选题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题目，是影响毕业设计（论文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质量的主要因素之一。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（一）命题原则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的命题（选题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，应以毕业设计（论文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大纲为依据，在满足本专业人才培养目标和基本要求的前提下，尽可能地联系生产的实际、联系科研的实际、联系教学的实际、联系社会的实际。题目应有一定的理论价值和实用价值。毕业设计（论文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命题（选题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，应密切把握题目性质、难度、覆盖面、份量、综合训练以及题目更新率，即：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题目体现应用型本科教育层次和人才培养目标的基本要求，不偏离专业及专业方向。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难度适中，题目不能太大、太浅，学生在教师的指导下，经过努力，能按时独立地完成课题。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覆盖面较宽，实施该课题，需涉及本专业主干课的大部分内容，而不只是其中一门课程或一门课程的部分章节的内容。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份量适当，达到教学计划所规定的综合训练要求。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综合训练，即完成该课题，需要对所学知识和技能的综合应用。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每届课题题目应有一定比例的更新。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（二）题目来源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学院、教研室应采取多种渠道，获得数量足够、质量高、适应大纲要求的毕业设计（论文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题目。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课题来源：A－生产实际，B－科学研究，C－社会实践，D－学生自拟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课题类型：A－在实验实习、工程实践和社会调查中完成的，B－其他类型。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鼓励指导教师把教学改革项目、科学研究项目与毕业设计（论文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结合起来；鼓励校企合作，由企业工程技术人员、经营管理人员和研究人员命题；支持师生到生产、建设、科研、管理、服务等第一线，获取真实的课题；鼓励学生结合所参与的大学生创新创业训练计划项目，以及自己的特长和爱好，提出有关的课题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（三）题目审核、论证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从各方面获取的毕业设计（论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文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）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所有题目，都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必须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由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教研室、学院组织审核、论证，通过后方可作为毕业设计（论文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的题目，供师生选用。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本环节应注意克服“没有命题”、“学生自发拟题或教师随意命题”、“题目未经审批”、“题目趋同或雷同”、“题目陈旧”、“题目太大或太浅”、“题目性质、难度、份量、覆盖面不适应”等现象。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选题时可通过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邀请行业企业专家进行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课题价值分析、关联分析等，提高选题质量。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七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教学任务分组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教学任务分组，即对毕业设计（论文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课题、指导教师和学生进行教学任务分组，也即是落实毕业设计（论文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教学任务的具体安排。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由各学院向指导教师和学生公布经审核、论证后的毕业设计（论文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题目，教师和学生在规定的时间内，自主选择规定范围内的题目，学院、教研室对学生和教师的选题情况进行综合平衡。采取以选题为主，选题与调配题相结合的方式进行，如专业设置有专业方向，学生所选课题原则上应与其专业方向一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分组要求：原则上1名教师指导1组学生，保证1名教师所指导学生不超过8人，学生1人1题。即使是较大型的或综合性的课题，需要多人参加的，要保证大题目的总体设计每个同学都要参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，做到分工明确，每个学生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以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独立完成相应部分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作为选题的副标题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教学任务安排落实后，各学院认真准确地登记好学生选题、分组和导师名单，报送教务处备案。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本环节注意克服“学生所选择的题目雷同”、“分组过大”、“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名教师指导学生人数过多”的现象。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八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任务书，是指导教师以书面形式下达给学生的工作任务书。这是指导教师对学生提出的毕业设计（论文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基本任务。学生应认真研究其内涵，并按照要求具体做好毕业设计（论文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任务书的基本内容：课题名称、课题内容和要求、设计的技术要求与指标（或论文研究方法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完成形式、所需主要仪器设备（或调查计划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、任务下达时间与毕业设计（论文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成果完成时间、进度计划与应完成的工作、主要参考文献、资料等。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因特殊原因变动毕业设计（论文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课题，应重新下达任务书。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本环节应注意克服“未下达任务书”或者“下达任务书内容不具体”的现象。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九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开题报告，即学生向指导教师报告自己对毕业设计（论文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课题的理解，以及实施毕业设计（论文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工作的目标、计划、途径、方法和预期成果的总体计划书。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开题报告主要内容包括：课题的立题依据（研究背景、目的和意义、国内外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研究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现状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、研究的主要内容及预期目标、研究方案（研究方法、预期成果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、进度安排，主要参考文献等。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开题报告必须得到指导教师和教研室主任的审查和批准，方可进一步实施毕业设计（论文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本环节注意克服“没有开题报告就开题”或者“开题报告不具体”、“开题报告不审批”的现象。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十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指导过程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指导在整个毕业设计（论文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工作过程中持续时间较长，各学院、专业应高度重视毕业设计（论文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指导过程的管理，加强对毕业设计（论文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质量的监控。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学生做毕业设计（论文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，应在教师的指导下进行。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教师应制订指导计划，并报教研室备案；应将指导时间、地点、方式告知学生，并按计划、按时指导学生，保证所有学生都能得到教师足够学时数的指导。教师指导学生，在教学计划毕业设计（论文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规定的时间内，应保证与学生的单独指导、见面指导至少各4次，每周至少与学生进行一次交流讨论。每一次指导（含面授、电话、网络、其他方式的指导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，教师应协助学生填写《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本科毕业设计（论文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指导记录表》。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学生应把主要精力放在毕业设计（论文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过程中，在教师指导下，充分发挥自身的主观能动性，认真做毕业设计（论文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。学生要主动与指导教师联系，汇报自己的毕业设计（论文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进展情况，提出有关疑难问题，争取教师的指导和帮助。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指导教师应当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深入研究毕业设计（论文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）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课题，做到深入指导、具体指导。教师应注意引导学生深入思考和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独立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  <w:t>地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工作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，不包办代替学生的工作；鼓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励和支持学生之间、小组之间的交流和研讨。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（五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二级学院应加强对毕业设计（论文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的日常检查，加强过程管理，加强对教师教学纪律和指导过程的考核，加强对学生的组织与管理，保证良好的教学秩序。要组织毕业设计（论文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中期检查。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（六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学校教务处负责组织毕业设计（论文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抽查。抽查的主要途径是：实地查看；召开学生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教师座谈会；问卷调查评议等。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（七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本环节应注意克服“指导时间不能保证、指导时间少”、“指导过程不深入、不具体”等现象。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十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考核与成绩评定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（一）规范审查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default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各专业教研室负责在毕业设计（论文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答辩前对学生毕业设计（论文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工作期间的情况和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毕业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的基本规范进行审查。若属毕业设计（论文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质量问题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或意识形态问题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审查不合格的，应责令其修改或重做，达到要求后才能参加答辩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出现以下违规情况之一的，作规范审查不合格处理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其规范审查评定成绩记为0分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学生不得参与本次答辩。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0" w:leftChars="0" w:right="0"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1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.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累计缺席超过总工作时间的三分之一；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0" w:leftChars="0" w:right="0"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2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.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发生重大违规事件；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0" w:leftChars="0" w:right="0"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3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.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有抄袭行为（根据《北海艺术设计学院关于本科毕业设计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（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论文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）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学术不端行为检测及处理办法》进行认定）；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0" w:leftChars="0" w:right="0"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4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.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设计（论文）未按规范格式编制；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0" w:leftChars="0" w:right="0"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5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.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图表设计不符合相关标准；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ascii="方正仿宋简体" w:hAnsi="方正仿宋简体" w:eastAsia="方正仿宋简体" w:cs="方正仿宋简体"/>
          <w:color w:val="000000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eastAsia="zh-CN"/>
        </w:rPr>
        <w:t>6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.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设计（论文）等材料未按时、全部交齐。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（二）评阅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学生完成毕业设计（论文）后，送交指导教师进行评阅。评阅必须经过两个步骤，第一步由指导教师评阅；第二步由主审教师评审。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1．指导教师评阅：学生将毕业设计及设计说明书或毕业论文全部资料（含实验实习记录、图纸、调研报告等）送交指导教师审阅，指导教师应填写《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北海艺术设计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学院本科毕业设计（论文）指导教师评阅表》，写出评阅意见，给定毕业设计（论文）成绩。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．主审教师评审：为客观地评价学生毕业设计（论文）成绩，除指导教师评阅外，各专业毕业设计（论文）答辩委员会还应组织主审教师评审毕业设计（论文），主审教师必须由别的课题的指导老师担任，互相对学生的毕业设计说明书或毕业论文进行交叉评阅。主审教师要认真评审毕业设计（论文），填写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北海艺术设计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学院本科毕业设计（论文）主审教师评阅表》，并给出成绩。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3．评阅工作应在答辩前完成。学生毕业设计（论文），没有通过指导教师和主审教师评阅，不得参加答辩和最后的成绩评定。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．毕业设计（论文）的评阅，应遵照毕业设计（论文）评分标准，认真核定成绩，指导教师和主审教师评语应不少于200字。本环节应注意克服“评阅无标准”、“评阅不深入、不全面、不准确、不具体”、“评语千篇一律”的现象，注意把握优秀毕业设计（论文）的比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（三）答辩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答辩的主要目的是检验和考核学生对毕业设计（论文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的整体把握程度，是对学生毕业设计（论文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成果的最后考核和评审，学生的毕业设计（论文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应进行公开答辩。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学院成立以学院领导为组长的答辩委员会（5～7人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，负责本学院毕业设计（论文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答辩的组织领导工作，并主持复审答辩。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各专业成立3～5人组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成的答辩组负责组织本专业的答辩工作。专业答辩组根据专业学生人数及课题性质，可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分为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若干个答辩小组（每组教师3～5名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）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开展答辩工作，答辩小组设组长一人。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按要求装订成册，学院应组织答辩资格审查组对本届每一位学生进行答辩资格审查，审查内容包括学生的设计（论文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过程形成的材料、图纸、设计（论文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规范、设计（论文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质量等，审查合格者方可参加答辩。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学生的规范审查、指导教师评阅成绩中有小于60分的，不可参加答辩。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学生安排到各答辩小组进行答辩，同组的学生必须全程旁听小组答辩。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答辩包括学生自述、教师提问、学生回答、讨论评审和评分等环节，每位学生的答辩时间（包括汇报和提问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以不少于20分钟为宜。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小组成员在答辩前，应进一步熟悉每位学生的毕业设计（论文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，从总体上把握毕业设计（论文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的主旨、关键问题、创新之处和优缺点。学生应认真做好答辩前的各项准备工作。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学生自述，主要包括毕业设计（论文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的题目、主题、研究成果、主要观点、创新之处、不足之处等。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提问者应注意从毕业设计（论文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的基本问题、主要问题、关键问题质疑，帮助学生提高对所研究的问题的认识和理解。答辩时除了向学生就毕业设计（论文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本身的问题提问外，还应注意考核学生与掌握课题密切相关的基本理论、基本知识、基本的设计、计算方法、实验方法、测试方法的情况以及解决实际问题的能力。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" w:name="_Hlk11072867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答辩小组评定毕业设计（论文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成绩为“≥90分”和“＜60分”的设计（论文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，由学院答辩委员会再组织复审答辩。</w:t>
      </w:r>
    </w:p>
    <w:bookmarkEnd w:id="1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小组答辩和学院答辩都要做好答辩过程记录，详细记录答辩组提出的问题与学生回答的情况。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" w:name="OLE_LINK4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9</w:t>
      </w:r>
      <w:bookmarkEnd w:id="2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最后一次的答辩评定结果为答辩成绩，答辩评分参照毕业设计（论文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答辩评分参考标准执行。答辩评分，应坚持评分标准，克服随意性。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3" w:name="OLE_LINK5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凡是毕业设计（论文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不及格的同学均需要重修，有如下两种方式：①经过三个月的指导和修改，质量可以达到合格标准的，可于10月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日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日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期间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由学院重新安排组织答辩；②经过三个月的指导和修改，质量无法达到合格标准的，直接跟下一届毕业生重修，与下一届毕业生毕业设计（论文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答辩工作一起开展。</w:t>
      </w:r>
    </w:p>
    <w:bookmarkEnd w:id="3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（四）成绩评定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答辩小组根据学生毕业设计（论文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的规范审查、指导教师评阅及答辩情况评定学生毕业设计（论文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最终成绩。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最终评定成绩计算为：规范审查占10%，指导教师评阅占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%，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主审教师评阅占20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%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答辩成绩占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40%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有下列情况之一者不能参评校级优秀毕业设计（论文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设计（论文）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中有两处或两处以上不符合规范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打印及装订不符合基本规范要求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论文中出现概念性错误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论文篇幅过短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其他被认定不能评为优秀的情况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有下列情况之一者评为不及格：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设计中有原则性重大错误或基本没有完成任务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弄虚作假，有抄袭行为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答辩时概念不清，对主要问题回答不正确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不参与答辩环节或复审答辩的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复审答辩平均答辩成绩小于60分的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其他被认定为不能评为及格的情况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成绩记载采用百分制。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6.毕业设计（论文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优秀率原则上不应超过 15%。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（五）毕业设计（论文）的答辩与成绩评定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四年制本科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原则上应于第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8学期6月份完成，五年制本科为第10学期6月份完成。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default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（六）本环节应注意把握“所提问题的针对性和适应性”，防止“避重就轻”（指撇开基本问题、主要问题、关键问题，而提出不紧要的问题或没有一定难度的问题）；或者所提问题难度过大，超出本科教育层次的要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十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二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工作总结与资料归档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工作结束后，各学院、教研室应撰写书面工作总结，并将相关资料整理归档。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正文封面及过程管理手册由学校统一提供电子文档，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由二级学院组织师生下载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工作组织管理方面所形成的资料，包括各学院的毕业设计（论文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工作制度、各专业毕业设计（论文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大纲、毕业设计（论文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工作实施方案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指导教师情况统计表、选题审核论证意见一览表、教学任务安排一览表、指导记录表、教学日志、中期考核表、答辩记录表、题目及成绩汇总表、质量分析与评估报告、工作总结等。上述资料，按专业整理归档。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档案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袋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资料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（诚信承诺书、摘要、关键词、正文、参考文献、附录、致谢等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2.毕业设计（论文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3.毕业设计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4.毕业设计（论文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指导记录表；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5.毕业设计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中期考核表；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6.毕业设计（论文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规范审查表；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7.毕业设计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指导教师评阅表；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8.毕业设计（论文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答辩记录表；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9.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答辩成绩及评语；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10.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学术不端行为检测结果等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所有这些资料必须归档，要求全部汇集，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分学院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、分专业、按学号顺序整理集中归档，并附目录清单。最终的毕业设计（论文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，应以纸质文件和WORD电子文档同时归档，由各学院保管，并提交一份电子档到教务处。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各学院要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在答辩工作完成后30日内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将毕业设计（论文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工作总结及相关档案资料移交教务处。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十三、毕业设计（论文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工作条件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保障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工作，需要必备的教学条件和经费保障。学校有关部门和各学院、教研室应全力做好保障和服务工作，确保教学需要。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（一）教学条件保障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应根据课题内容和工作要求，提出有关教学条件准备计划，并报教研室及学院，经审核批准后，向有关方面通报，于第7学期结束前完成有关准备工作。教务处协调学校各实验室、图书馆等有关部门准备实验室、参考资料等工作条件保障。对于其中的一些课题，可在校外实习、实训基地或科研单位开展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（二）经费保障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经费，是指毕业生毕业设计（论文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工作开展产生的答辩组织费、校外专家答辩评审费、交通费、住宿费、优秀论文选编印刷费、设计耗材费及实验制作加工费等有关费用。毕业设计（论文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所需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经费标准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按相关规定执行。经费的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使用应在毕业设计（论文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）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</w:rPr>
        <w:t>工作筹备时，由学院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eastAsia="zh-CN"/>
        </w:rPr>
        <w:t>作出</w:t>
      </w:r>
      <w:r>
        <w:rPr>
          <w:rFonts w:hint="eastAsia" w:ascii="方正仿宋简体" w:hAnsi="方正仿宋简体" w:eastAsia="方正仿宋简体" w:cs="方正仿宋简体"/>
          <w:color w:val="auto"/>
          <w:sz w:val="32"/>
          <w:szCs w:val="32"/>
          <w:lang w:val="en-US" w:eastAsia="zh-CN"/>
        </w:rPr>
        <w:t>经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费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预算，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按程序报批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。待毕业设计（论文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工作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结束后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实报实销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教学纪律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" w:hAnsi="楷体" w:eastAsia="楷体" w:cs="楷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）对指导教师的基本要求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工作实行指导教师负责制，每位指导教师对其指导的学生在整个毕业设计（论文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阶段中的设计（论文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工作全面负责。其具体职责包括：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草拟毕业设计（论文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题目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指导学生选择课题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学生选择的课题被批准后，填写《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任务书》，《任务书》经教研室主任审批后，及时下达给学生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制定指导工作计划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审定学生毕业设计（论文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总体方案、论文提纲、工作计划，指导学生完成《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开题报告》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指导学生进行毕业设计（论文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，直到完成成果的写作。认真审查设计说明书、图纸、论文，签署指导教师的意见和评语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参加毕业设计（论文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的答辩和评定成绩工作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指导教师应自觉遵守教学纪律，坚守工作岗位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若临时出差或请假需经学院毕业设计（论文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工作领导小组批准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时间超过一周，要委托相当水平教师作代理指导教师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一个月以上，则需另定指导教师，并报教务处备案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指导教师必须抓住关键问题进行指导，因材施教，不能出现原则性错误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要重视对学生工作能力和创新精神的培养，在指导工作中要注意引导，要注意发挥学生的积极性、主动性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不能包办代替学生的工作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掌握学生的工作进度，使全部工作任务有序按时保质保量完成。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（二）对学生的基本要求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对毕业设计（论文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工作应持积极的态度，较好地完成设计（论文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并顺利通过答辩是学生取得学士学位的基本条件。在开展设计（论文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工作中应积极主动、勇于实践、敢于创新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过程中要刻苦钻研，虚心接受指导教师和工程技术人员的指导、检查、询问、考核等，有意见或建议可以适当的方式提出或向上级反映，而不得以任何形式拒绝或对抗指导教师和工程技术人员的指导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进程中要自觉遵守纪律，不得无故缺勤和迟到、早退，缺勤总时间占毕业设计（论文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总时间三分之一以上者不准参加答辩，其成绩按不及格论处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特殊情况需请假者必须按规定办理请假手续，且不得因请假而影响毕业设计（论文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任务的完成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按时按规定和指导教师协商选定课题，向指导教师领取相应的任务书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根据任务的要求，提出调查研究提纲，拟定毕业设计（论文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工作计划，在规定的时间内写出《开题报告》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在《开题报告》被批准以后正式开始毕业设计（论文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在工作过程中做好相关记录，如实填写有关表格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最后完成毕业设计（论文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学生应对本人的毕业设计（论文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质量负责，必须在规定时间内完成给定的毕业设计（论文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各项任务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毕业设计说明书或论文书写格式必须符合《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撰写规范》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答辩前两周，学生需提交毕业设计（论文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全部成果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文档部分按规定装订成册交给指导教师，待通过规范审查、指导教师评阅后，方可进入答辩程序。对答辩做好充分准备，写出设计说明书或论文的提要及发言提纲，绘制必要的图表、准备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答辩PPT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答辩后应交回所写及所用的全部资料，包括设计说明书、论文、图纸、阶段资料、实验原始记录、译文、软件文档等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若其中有需要保密的，则负有保密责任，未经许可不得擅自对外发表或转让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必须独立完成规定的工作任务，不得弄虚作假，不准抄袭他人成果，不得找人代做。否则其成绩按零分论处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在全部程序中要注意安全和节约，爱护相关仪器和设备，严格遵守操作规程和各种规章制度，尊重别人的劳动及成果，搞好团结协助。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（三）同一位学生的指导教师、答辩教师、原则上不可以出现重复。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十五、毕业设计（论文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撰写规范要求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印刷装订规格要求：采用A4幅面打印，且符合下列次序：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封面；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承诺书；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中文摘要；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英文摘要；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目录；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正文；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7.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参考文献；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8.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附录；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9.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致谢。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文字要求：文字通顺，语言流畅，按规定字体、字号打印，无错别字，标点和各种符号使用正确。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图纸要求：按国家制图标准，图面整洁，布局合理，线条粗细均匀，圆弧连接光滑，尺寸标准规范，所有曲线、图表、线路图、流程图、程序框图、示意图等，需按国家规定标准或工程要求绘制，提倡用计算机绘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（四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工作量要求：原则上查阅文献资料不少于1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篇，论文的正文前要有400～500字的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中文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摘要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和300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～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  <w:lang w:val="en-US" w:eastAsia="zh-CN"/>
        </w:rPr>
        <w:t>400词的英文</w:t>
      </w:r>
      <w:r>
        <w:rPr>
          <w:rFonts w:hint="eastAsia" w:ascii="方正仿宋简体" w:hAnsi="方正仿宋简体" w:eastAsia="方正仿宋简体" w:cs="方正仿宋简体"/>
          <w:color w:val="000000"/>
          <w:sz w:val="32"/>
          <w:szCs w:val="32"/>
        </w:rPr>
        <w:t>摘要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；论文正文要求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文科类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工科类论文毕业论文l篇不少于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000字，艺术设计类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设计报告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不少于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000字（同时提交有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作品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和附件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（五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，由各学院按规定要求审查，凡不符合规范要求的，应令其返工，直至达到要求为止。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十六、本办法从公布之日起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施行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。原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有关规定与本办法不一致时，以本办法为主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十七、本办法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由教务处负责解释</w:t>
      </w:r>
      <w:r>
        <w:rPr>
          <w:rFonts w:hint="eastAsia" w:ascii="黑体" w:hAnsi="黑体" w:eastAsia="黑体" w:cs="黑体"/>
          <w:b w:val="0"/>
          <w:bCs w:val="0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640" w:firstLineChars="200"/>
        <w:textAlignment w:val="auto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8" w:leftChars="304" w:hanging="1280" w:hangingChars="4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4" w:name="_Toc28827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附件：1.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撰写规范要求</w:t>
      </w:r>
      <w:bookmarkEnd w:id="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5" w:name="_Toc6641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模板</w:t>
      </w:r>
      <w:bookmarkEnd w:id="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6" w:name="_Toc14892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任务书</w:t>
      </w:r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7" w:name="_Toc15862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开题报告</w:t>
      </w:r>
      <w:bookmarkEnd w:id="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8" w:name="_Toc6553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指导记录表</w:t>
      </w:r>
      <w:bookmarkEnd w:id="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9" w:name="_Toc21598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6.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中期考核表</w:t>
      </w:r>
      <w:bookmarkEnd w:id="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0" w:name="_Toc29431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7.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指导教师情况统计表</w:t>
      </w:r>
      <w:bookmarkEnd w:id="1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1" w:name="_Toc17059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选题审核、论证意见一览表</w:t>
      </w:r>
      <w:bookmarkEnd w:id="1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2" w:name="_Toc18600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9.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信息汇总表</w:t>
      </w:r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3" w:name="_Toc12585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10.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选题情况分析表</w:t>
      </w:r>
      <w:bookmarkEnd w:id="1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4" w:name="_Toc15079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11.</w:t>
      </w:r>
      <w:bookmarkEnd w:id="14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指导教师评阅标准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北海艺术设计学院本科毕业设计（论文）主审教师评阅标准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5" w:name="_Toc31518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规范审查表</w:t>
      </w:r>
      <w:bookmarkEnd w:id="15"/>
      <w:bookmarkStart w:id="16" w:name="_Toc2780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指导教师评阅表</w:t>
      </w:r>
      <w:bookmarkEnd w:id="1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15.北海艺术设计学院本科毕业设计（论文）主审教师评阅表</w:t>
      </w:r>
      <w:bookmarkStart w:id="17" w:name="_Toc2520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答辩日程安排表</w:t>
      </w:r>
      <w:bookmarkEnd w:id="1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8" w:name="_Toc16349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答辩记录表</w:t>
      </w:r>
      <w:bookmarkEnd w:id="1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19" w:name="_Toc20690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答辩评分参考标准</w:t>
      </w:r>
      <w:bookmarkEnd w:id="1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bookmarkStart w:id="20" w:name="_Toc12279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答辩成绩及评语（首次答辩用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bookmarkEnd w:id="2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bookmarkStart w:id="21" w:name="_Toc29745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答辩成绩及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评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语（复审答辩用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bookmarkEnd w:id="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2" w:name="_Toc31605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21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成绩统计表</w:t>
      </w:r>
      <w:bookmarkEnd w:id="2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3" w:name="_Toc16126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22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学术不端检测结果鉴定表</w:t>
      </w:r>
      <w:bookmarkEnd w:id="2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4" w:name="_Toc10452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23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学术不端行为检测B类复检仍不合格处理意见汇总表</w:t>
      </w:r>
      <w:bookmarkEnd w:id="2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5" w:name="_Toc19634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24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学术不端行为检测C类处理意见汇总表</w:t>
      </w:r>
      <w:bookmarkEnd w:id="2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firstLine="1600" w:firstLineChars="5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6" w:name="_Toc231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北海艺术设计学院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优秀毕业设计（论文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汇总表</w:t>
      </w:r>
      <w:bookmarkEnd w:id="2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0" w:lineRule="exact"/>
        <w:ind w:left="1916" w:leftChars="760" w:hanging="320" w:hangingChars="100"/>
        <w:textAlignment w:val="auto"/>
        <w:outlineLvl w:val="1"/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27" w:name="_Toc30987"/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26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.北海艺术设计学院毕业设计（论文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学术不端行为检测及处理办法（修订</w:t>
      </w:r>
      <w:r>
        <w:rPr>
          <w:rFonts w:hint="eastAsia" w:ascii="方正仿宋简体" w:hAnsi="方正仿宋简体" w:eastAsia="方正仿宋简体" w:cs="方正仿宋简体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bookmarkEnd w:id="27"/>
    </w:p>
    <w:sectPr>
      <w:headerReference r:id="rId3" w:type="default"/>
      <w:footerReference r:id="rId4" w:type="default"/>
      <w:pgSz w:w="11906" w:h="16838"/>
      <w:pgMar w:top="1417" w:right="1417" w:bottom="1417" w:left="1417" w:header="851" w:footer="992" w:gutter="0"/>
      <w:pgNumType w:fmt="decimal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7717AE4-B19C-4250-ABBB-5D737282115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B3B41FF-E426-450D-8ABA-95868C66002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6C640C7-6D14-40A0-BC6A-BA9C00419D5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B7BDA6C5-DB5A-4EFB-9B9C-98427DF2036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353E692-55A2-47D4-880B-1E8AB6F1B55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779B2E73-645C-49BE-8C82-814147F55D75}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  <w:embedRegular r:id="rId7" w:fontKey="{EE7A77FC-B2EC-497F-B4A3-C2D770D74785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8" w:fontKey="{2EF4C437-1FCD-4FE3-9D70-226E25339E10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EFA129EA-F788-4B2E-80FC-32AA019F09B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5" name="文本框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xyswEzAgAAYwQAAA4AAABkcnMvZTJvRG9jLnhtbK1US44TMRDdI3EH&#10;y3vSSdC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9MrSgzTqPj5x/fz&#10;z9/nX98IziBQ7cIccQ8OkbF5Zxu0zXAecJh4N6XX6QtGBH7Ie7rIK5pIeLo0m85mY7g4fMMG+NnT&#10;dedDfC+sJsnIqUf9WlnZcRtiFzqEpGzGbqRSbQ2VIXVOr99ejd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BxyswE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bottom w:val="none" w:color="auto" w:sz="0" w:space="0"/>
      </w:pBdr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302AA7F"/>
    <w:multiLevelType w:val="singleLevel"/>
    <w:tmpl w:val="2302AA7F"/>
    <w:lvl w:ilvl="0" w:tentative="0">
      <w:start w:val="1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61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1Zjc5ZDhiYjgyZDdjZjU3MmM4MTRhYzI0YmNkZmIifQ=="/>
  </w:docVars>
  <w:rsids>
    <w:rsidRoot w:val="35241A1C"/>
    <w:rsid w:val="00717B10"/>
    <w:rsid w:val="013A5E9F"/>
    <w:rsid w:val="01863B5B"/>
    <w:rsid w:val="020B07BA"/>
    <w:rsid w:val="02433FA7"/>
    <w:rsid w:val="02EC5730"/>
    <w:rsid w:val="045D0086"/>
    <w:rsid w:val="04C632DB"/>
    <w:rsid w:val="076436C2"/>
    <w:rsid w:val="08D55D30"/>
    <w:rsid w:val="09395C81"/>
    <w:rsid w:val="09E16F9B"/>
    <w:rsid w:val="0AFA1006"/>
    <w:rsid w:val="0B1E481F"/>
    <w:rsid w:val="0BB3457D"/>
    <w:rsid w:val="0BC77859"/>
    <w:rsid w:val="0BEE2C0C"/>
    <w:rsid w:val="0DE35EDA"/>
    <w:rsid w:val="0E4F7C80"/>
    <w:rsid w:val="0E592981"/>
    <w:rsid w:val="0E7C7C76"/>
    <w:rsid w:val="0F2B249C"/>
    <w:rsid w:val="0FE91391"/>
    <w:rsid w:val="120338C8"/>
    <w:rsid w:val="12902616"/>
    <w:rsid w:val="13D2770D"/>
    <w:rsid w:val="15880877"/>
    <w:rsid w:val="15E40F54"/>
    <w:rsid w:val="16162896"/>
    <w:rsid w:val="19376564"/>
    <w:rsid w:val="19C80640"/>
    <w:rsid w:val="19CC6629"/>
    <w:rsid w:val="1A4F7BC3"/>
    <w:rsid w:val="1B8A679C"/>
    <w:rsid w:val="1BB30E65"/>
    <w:rsid w:val="1BEE46D1"/>
    <w:rsid w:val="1DCF44DB"/>
    <w:rsid w:val="20C749BB"/>
    <w:rsid w:val="217A5ED1"/>
    <w:rsid w:val="23401EE6"/>
    <w:rsid w:val="238C4E24"/>
    <w:rsid w:val="24112C02"/>
    <w:rsid w:val="2418288B"/>
    <w:rsid w:val="25D46BA8"/>
    <w:rsid w:val="26EF1D62"/>
    <w:rsid w:val="28346E06"/>
    <w:rsid w:val="29172F37"/>
    <w:rsid w:val="295A4B7F"/>
    <w:rsid w:val="2A756869"/>
    <w:rsid w:val="2B1F6408"/>
    <w:rsid w:val="2B481888"/>
    <w:rsid w:val="2C270BAF"/>
    <w:rsid w:val="2CEC4277"/>
    <w:rsid w:val="2D5348DB"/>
    <w:rsid w:val="3012294B"/>
    <w:rsid w:val="3066691A"/>
    <w:rsid w:val="340C64A8"/>
    <w:rsid w:val="344A0C61"/>
    <w:rsid w:val="35241A1C"/>
    <w:rsid w:val="36E50586"/>
    <w:rsid w:val="37BC1B4B"/>
    <w:rsid w:val="388F175C"/>
    <w:rsid w:val="38D2487A"/>
    <w:rsid w:val="38EF42EA"/>
    <w:rsid w:val="3AE55345"/>
    <w:rsid w:val="3B6C10B2"/>
    <w:rsid w:val="3C057493"/>
    <w:rsid w:val="3CE279AA"/>
    <w:rsid w:val="3D736C38"/>
    <w:rsid w:val="3D770714"/>
    <w:rsid w:val="3DBD1EB7"/>
    <w:rsid w:val="3E875BB2"/>
    <w:rsid w:val="3E927EC9"/>
    <w:rsid w:val="3F9A3CAB"/>
    <w:rsid w:val="4045030D"/>
    <w:rsid w:val="420B5EF0"/>
    <w:rsid w:val="42DB20C8"/>
    <w:rsid w:val="4316742A"/>
    <w:rsid w:val="43DF505F"/>
    <w:rsid w:val="45A24807"/>
    <w:rsid w:val="46031DDB"/>
    <w:rsid w:val="463C21AC"/>
    <w:rsid w:val="46AE7D56"/>
    <w:rsid w:val="46BA291D"/>
    <w:rsid w:val="49EA64D4"/>
    <w:rsid w:val="4AEF26B7"/>
    <w:rsid w:val="4CA402DB"/>
    <w:rsid w:val="4CDA0D6F"/>
    <w:rsid w:val="4DD75B9C"/>
    <w:rsid w:val="4E446EAB"/>
    <w:rsid w:val="4E9625FB"/>
    <w:rsid w:val="4ED42A41"/>
    <w:rsid w:val="4F7A5D45"/>
    <w:rsid w:val="4FFA7949"/>
    <w:rsid w:val="502D2C76"/>
    <w:rsid w:val="5087716A"/>
    <w:rsid w:val="52741070"/>
    <w:rsid w:val="52AA4A52"/>
    <w:rsid w:val="52AE107A"/>
    <w:rsid w:val="52CD512E"/>
    <w:rsid w:val="52EB1B71"/>
    <w:rsid w:val="545E4117"/>
    <w:rsid w:val="545E52F9"/>
    <w:rsid w:val="55DD3D5D"/>
    <w:rsid w:val="5722637F"/>
    <w:rsid w:val="574C66E8"/>
    <w:rsid w:val="59ED7242"/>
    <w:rsid w:val="5A011B57"/>
    <w:rsid w:val="5BA7522D"/>
    <w:rsid w:val="5C555DAE"/>
    <w:rsid w:val="5C882DE9"/>
    <w:rsid w:val="5CDA2A90"/>
    <w:rsid w:val="5DE74DAC"/>
    <w:rsid w:val="5EB3277E"/>
    <w:rsid w:val="5F527033"/>
    <w:rsid w:val="6042570D"/>
    <w:rsid w:val="60825735"/>
    <w:rsid w:val="60E12A7E"/>
    <w:rsid w:val="614D1947"/>
    <w:rsid w:val="6228494C"/>
    <w:rsid w:val="622F4701"/>
    <w:rsid w:val="625207D8"/>
    <w:rsid w:val="62525EBC"/>
    <w:rsid w:val="630062FA"/>
    <w:rsid w:val="63081C29"/>
    <w:rsid w:val="6519495A"/>
    <w:rsid w:val="65942D04"/>
    <w:rsid w:val="660E583F"/>
    <w:rsid w:val="66863421"/>
    <w:rsid w:val="66967DB6"/>
    <w:rsid w:val="6832676A"/>
    <w:rsid w:val="68E3353A"/>
    <w:rsid w:val="6A771144"/>
    <w:rsid w:val="6C2076DB"/>
    <w:rsid w:val="6CC717A1"/>
    <w:rsid w:val="6D005B5A"/>
    <w:rsid w:val="6D2C321D"/>
    <w:rsid w:val="6D453CEB"/>
    <w:rsid w:val="6D8819DC"/>
    <w:rsid w:val="6DAF1DC1"/>
    <w:rsid w:val="6EF2710D"/>
    <w:rsid w:val="6F422A6C"/>
    <w:rsid w:val="6FBE00D2"/>
    <w:rsid w:val="723C21F8"/>
    <w:rsid w:val="72425468"/>
    <w:rsid w:val="72CD093F"/>
    <w:rsid w:val="74BA426F"/>
    <w:rsid w:val="758124FF"/>
    <w:rsid w:val="759038D7"/>
    <w:rsid w:val="763B3A90"/>
    <w:rsid w:val="764F083C"/>
    <w:rsid w:val="76651D22"/>
    <w:rsid w:val="768A40CF"/>
    <w:rsid w:val="778D031B"/>
    <w:rsid w:val="78331014"/>
    <w:rsid w:val="78DB2189"/>
    <w:rsid w:val="79E82B60"/>
    <w:rsid w:val="7B865553"/>
    <w:rsid w:val="7C2044DE"/>
    <w:rsid w:val="7C3D720B"/>
    <w:rsid w:val="7DB163E5"/>
    <w:rsid w:val="7DE02AD9"/>
    <w:rsid w:val="7E490D14"/>
    <w:rsid w:val="7E631DD5"/>
    <w:rsid w:val="7E8A36B4"/>
    <w:rsid w:val="7F1A6C50"/>
    <w:rsid w:val="7F2C666B"/>
    <w:rsid w:val="7F502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7">
    <w:name w:val="Default Paragraph Font"/>
    <w:semiHidden/>
    <w:qFormat/>
    <w:uiPriority w:val="0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Body Text"/>
    <w:basedOn w:val="1"/>
    <w:unhideWhenUsed/>
    <w:qFormat/>
    <w:uiPriority w:val="0"/>
    <w:pPr>
      <w:jc w:val="center"/>
    </w:pPr>
    <w:rPr>
      <w:rFonts w:asciiTheme="minorHAnsi" w:hAnsiTheme="minorHAnsi" w:eastAsiaTheme="minorEastAsia" w:cstheme="minorBidi"/>
      <w:b/>
      <w:sz w:val="84"/>
      <w:szCs w:val="22"/>
    </w:rPr>
  </w:style>
  <w:style w:type="paragraph" w:styleId="7">
    <w:name w:val="toc 3"/>
    <w:basedOn w:val="1"/>
    <w:next w:val="1"/>
    <w:unhideWhenUsed/>
    <w:qFormat/>
    <w:uiPriority w:val="39"/>
    <w:pPr>
      <w:ind w:left="840" w:leftChars="400"/>
    </w:pPr>
  </w:style>
  <w:style w:type="paragraph" w:styleId="8">
    <w:name w:val="Plain Text"/>
    <w:basedOn w:val="1"/>
    <w:qFormat/>
    <w:uiPriority w:val="0"/>
    <w:rPr>
      <w:rFonts w:ascii="宋体" w:hAnsi="Courier New" w:cs="Courier New"/>
      <w:sz w:val="24"/>
      <w:szCs w:val="21"/>
    </w:rPr>
  </w:style>
  <w:style w:type="paragraph" w:styleId="9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10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tabs>
        <w:tab w:val="right" w:leader="dot" w:pos="9060"/>
      </w:tabs>
      <w:spacing w:line="400" w:lineRule="exact"/>
    </w:pPr>
    <w:rPr>
      <w:rFonts w:ascii="宋体" w:hAnsi="宋体"/>
      <w:b/>
    </w:rPr>
  </w:style>
  <w:style w:type="paragraph" w:styleId="12">
    <w:name w:val="footnote text"/>
    <w:basedOn w:val="1"/>
    <w:semiHidden/>
    <w:unhideWhenUsed/>
    <w:qFormat/>
    <w:uiPriority w:val="99"/>
    <w:pPr>
      <w:snapToGrid w:val="0"/>
      <w:jc w:val="left"/>
    </w:pPr>
    <w:rPr>
      <w:sz w:val="18"/>
      <w:szCs w:val="18"/>
    </w:rPr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Body Text 2"/>
    <w:basedOn w:val="1"/>
    <w:qFormat/>
    <w:uiPriority w:val="0"/>
    <w:pPr>
      <w:ind w:right="-297"/>
    </w:pPr>
  </w:style>
  <w:style w:type="table" w:styleId="16">
    <w:name w:val="Table Grid"/>
    <w:basedOn w:val="1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page number"/>
    <w:basedOn w:val="17"/>
    <w:qFormat/>
    <w:uiPriority w:val="0"/>
  </w:style>
  <w:style w:type="character" w:styleId="19">
    <w:name w:val="Hyperlink"/>
    <w:basedOn w:val="1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0">
    <w:name w:val="footnote reference"/>
    <w:basedOn w:val="17"/>
    <w:semiHidden/>
    <w:unhideWhenUsed/>
    <w:qFormat/>
    <w:uiPriority w:val="99"/>
    <w:rPr>
      <w:vertAlign w:val="superscript"/>
    </w:rPr>
  </w:style>
  <w:style w:type="paragraph" w:customStyle="1" w:styleId="21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22">
    <w:name w:val="font61"/>
    <w:basedOn w:val="17"/>
    <w:qFormat/>
    <w:uiPriority w:val="0"/>
    <w:rPr>
      <w:rFonts w:hint="eastAsia" w:ascii="宋体" w:hAnsi="宋体" w:eastAsia="宋体" w:cs="宋体"/>
      <w:b/>
      <w:bCs/>
      <w:color w:val="000000"/>
      <w:sz w:val="24"/>
      <w:szCs w:val="24"/>
      <w:u w:val="none"/>
    </w:rPr>
  </w:style>
  <w:style w:type="character" w:customStyle="1" w:styleId="23">
    <w:name w:val="font71"/>
    <w:basedOn w:val="17"/>
    <w:qFormat/>
    <w:uiPriority w:val="0"/>
    <w:rPr>
      <w:rFonts w:hint="default" w:ascii="Times New Roman" w:hAnsi="Times New Roman" w:cs="Times New Roman"/>
      <w:b/>
      <w:bCs/>
      <w:color w:val="000000"/>
      <w:sz w:val="24"/>
      <w:szCs w:val="24"/>
      <w:u w:val="none"/>
    </w:rPr>
  </w:style>
  <w:style w:type="character" w:customStyle="1" w:styleId="24">
    <w:name w:val="font81"/>
    <w:basedOn w:val="17"/>
    <w:qFormat/>
    <w:uiPriority w:val="0"/>
    <w:rPr>
      <w:rFonts w:hint="default" w:ascii="Times New Roman" w:hAnsi="Times New Roman" w:cs="Times New Roman"/>
      <w:color w:val="000000"/>
      <w:sz w:val="24"/>
      <w:szCs w:val="24"/>
      <w:u w:val="none"/>
    </w:rPr>
  </w:style>
  <w:style w:type="character" w:customStyle="1" w:styleId="25">
    <w:name w:val="font51"/>
    <w:basedOn w:val="17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26">
    <w:name w:val="font91"/>
    <w:basedOn w:val="17"/>
    <w:qFormat/>
    <w:uiPriority w:val="0"/>
    <w:rPr>
      <w:rFonts w:hint="default" w:ascii="Times New Roman" w:hAnsi="Times New Roman" w:cs="Times New Roman"/>
      <w:color w:val="000000"/>
      <w:sz w:val="24"/>
      <w:szCs w:val="24"/>
      <w:u w:val="single"/>
    </w:rPr>
  </w:style>
  <w:style w:type="character" w:customStyle="1" w:styleId="27">
    <w:name w:val="font11"/>
    <w:basedOn w:val="17"/>
    <w:qFormat/>
    <w:uiPriority w:val="0"/>
    <w:rPr>
      <w:rFonts w:hint="default" w:ascii="Times New Roman" w:hAnsi="Times New Roman" w:cs="Times New Roman"/>
      <w:color w:val="000000"/>
      <w:sz w:val="24"/>
      <w:szCs w:val="24"/>
      <w:u w:val="none"/>
    </w:rPr>
  </w:style>
  <w:style w:type="character" w:customStyle="1" w:styleId="28">
    <w:name w:val="font31"/>
    <w:basedOn w:val="17"/>
    <w:qFormat/>
    <w:uiPriority w:val="0"/>
    <w:rPr>
      <w:rFonts w:hint="eastAsia" w:ascii="宋体" w:hAnsi="宋体" w:eastAsia="宋体" w:cs="宋体"/>
      <w:color w:val="000000"/>
      <w:sz w:val="28"/>
      <w:szCs w:val="28"/>
      <w:u w:val="none"/>
    </w:rPr>
  </w:style>
  <w:style w:type="character" w:customStyle="1" w:styleId="29">
    <w:name w:val="font101"/>
    <w:basedOn w:val="17"/>
    <w:qFormat/>
    <w:uiPriority w:val="0"/>
    <w:rPr>
      <w:rFonts w:hint="default" w:ascii="Times New Roman" w:hAnsi="Times New Roman" w:cs="Times New Roman"/>
      <w:color w:val="000000"/>
      <w:sz w:val="28"/>
      <w:szCs w:val="28"/>
      <w:u w:val="none"/>
    </w:rPr>
  </w:style>
  <w:style w:type="character" w:customStyle="1" w:styleId="30">
    <w:name w:val="font112"/>
    <w:basedOn w:val="17"/>
    <w:qFormat/>
    <w:uiPriority w:val="0"/>
    <w:rPr>
      <w:rFonts w:hint="default" w:ascii="Times New Roman" w:hAnsi="Times New Roman" w:cs="Times New Roman"/>
      <w:color w:val="000000"/>
      <w:sz w:val="24"/>
      <w:szCs w:val="24"/>
      <w:u w:val="single"/>
    </w:rPr>
  </w:style>
  <w:style w:type="paragraph" w:styleId="3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11865</Words>
  <Characters>12053</Characters>
  <Lines>0</Lines>
  <Paragraphs>0</Paragraphs>
  <TotalTime>4</TotalTime>
  <ScaleCrop>false</ScaleCrop>
  <LinksUpToDate>false</LinksUpToDate>
  <CharactersWithSpaces>12062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2021-07-13T00:47:00Z</dcterms:created>
  <dc:creator>暴躁老爹</dc:creator>
  <cp:lastModifiedBy>你条蕉</cp:lastModifiedBy>
  <cp:lastPrinted>2022-05-16T04:46:00Z</cp:lastPrinted>
  <dcterms:modified xsi:type="dcterms:W3CDTF">2022-05-16T07:27:20Z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ICV">
    <vt:lpwstr>6CB0974E2EEB442D92BA77C3FB7A4E02</vt:lpwstr>
  </property>
  <property fmtid="{D5CDD505-2E9C-101B-9397-08002B2CF9AE}" pid="4" name="KSOSaveFontToCloudKey">
    <vt:lpwstr>0_btnclosed</vt:lpwstr>
  </property>
</Properties>
</file>